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852D5" w:rsidRPr="00B5043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852D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7813E5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6B04202</w:t>
      </w:r>
      <w:r w:rsidR="00D40F89">
        <w:rPr>
          <w:b/>
          <w:sz w:val="20"/>
          <w:szCs w:val="20"/>
          <w:lang w:val="kk-KZ"/>
        </w:rPr>
        <w:t xml:space="preserve"> – </w:t>
      </w:r>
      <w:r w:rsidR="001852D5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ҚР м</w:t>
      </w:r>
      <w:r w:rsidR="001852D5">
        <w:rPr>
          <w:b/>
          <w:sz w:val="20"/>
          <w:szCs w:val="20"/>
          <w:lang w:val="kk-KZ"/>
        </w:rPr>
        <w:t>емлекттік қызмет</w:t>
      </w:r>
      <w:r>
        <w:rPr>
          <w:b/>
          <w:sz w:val="20"/>
          <w:szCs w:val="20"/>
          <w:lang w:val="kk-KZ"/>
        </w:rPr>
        <w:t>тің құқықтық негіздері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439" w:rsidRPr="007813E5" w:rsidRDefault="00237DD0" w:rsidP="00B50439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Pr="00B50439">
              <w:rPr>
                <w:b/>
                <w:bCs/>
                <w:sz w:val="18"/>
                <w:szCs w:val="18"/>
              </w:rPr>
              <w:t xml:space="preserve"> 4311</w:t>
            </w:r>
          </w:p>
          <w:p w:rsidR="006645E2" w:rsidRPr="007813E5" w:rsidRDefault="00B50439" w:rsidP="00B5043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EA1114">
              <w:rPr>
                <w:b/>
                <w:bCs/>
                <w:sz w:val="20"/>
                <w:szCs w:val="20"/>
                <w:lang w:val="kk-KZ"/>
              </w:rPr>
              <w:t>ҚР м</w:t>
            </w:r>
            <w:r w:rsidR="00237DD0" w:rsidRPr="00237DD0">
              <w:rPr>
                <w:b/>
                <w:bCs/>
                <w:sz w:val="20"/>
                <w:szCs w:val="20"/>
                <w:lang w:val="kk-KZ"/>
              </w:rPr>
              <w:t>емлекеттік қызмет</w:t>
            </w:r>
            <w:r w:rsidR="007813E5">
              <w:rPr>
                <w:b/>
                <w:bCs/>
                <w:sz w:val="20"/>
                <w:szCs w:val="20"/>
                <w:lang w:val="kk-KZ"/>
              </w:rPr>
              <w:t>тің құқықтық негіздері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813E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7813E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E154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4950B4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154EF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E154EF"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4950B4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7813E5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7813E5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7813E5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7813E5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7813E5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3E5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7813E5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 Мемлекеттік қызметші- 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3E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3E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7813E5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7813E5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7813E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7813E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7813E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7813E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lastRenderedPageBreak/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4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7813E5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7813E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C5638E">
        <w:rPr>
          <w:sz w:val="20"/>
          <w:szCs w:val="20"/>
          <w:lang w:val="kk-KZ"/>
        </w:rPr>
        <w:t>Ахатов У.А.</w:t>
      </w:r>
    </w:p>
    <w:p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1852D5">
        <w:rPr>
          <w:b/>
          <w:sz w:val="20"/>
          <w:szCs w:val="20"/>
          <w:lang w:val="kk-KZ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:rsidR="00DB4D9C" w:rsidRPr="001852D5" w:rsidRDefault="00DB4D9C" w:rsidP="002A021D">
      <w:pPr>
        <w:spacing w:after="120"/>
        <w:rPr>
          <w:b/>
          <w:sz w:val="20"/>
          <w:szCs w:val="20"/>
          <w:lang w:val="kk-KZ"/>
        </w:rPr>
      </w:pPr>
    </w:p>
    <w:p w:rsidR="00FF13A1" w:rsidRPr="001852D5" w:rsidRDefault="006D1812" w:rsidP="00FF13A1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1852D5">
        <w:rPr>
          <w:b/>
          <w:sz w:val="20"/>
          <w:szCs w:val="20"/>
          <w:lang w:val="kk-KZ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FF13A1" w:rsidRPr="00DE6039">
        <w:rPr>
          <w:sz w:val="20"/>
          <w:szCs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A5F34" w:rsidRPr="00DE6039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:rsidR="00F6159D" w:rsidRPr="001852D5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1852D5">
        <w:rPr>
          <w:rStyle w:val="normaltextrun"/>
          <w:sz w:val="20"/>
          <w:szCs w:val="20"/>
          <w:lang w:val="kk-KZ"/>
        </w:rPr>
        <w:t>(Пример 1)</w:t>
      </w:r>
      <w:r w:rsidR="00F6159D" w:rsidRPr="001852D5">
        <w:rPr>
          <w:rStyle w:val="normaltextrun"/>
          <w:sz w:val="20"/>
          <w:szCs w:val="20"/>
          <w:lang w:val="kk-KZ"/>
        </w:rPr>
        <w:t>.</w:t>
      </w:r>
      <w:r w:rsidR="00F6159D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1852D5">
        <w:rPr>
          <w:rStyle w:val="normaltextrun"/>
          <w:sz w:val="20"/>
          <w:szCs w:val="20"/>
          <w:lang w:val="kk-KZ"/>
        </w:rPr>
        <w:t> </w:t>
      </w:r>
      <w:r w:rsidR="00F6159D" w:rsidRPr="001852D5">
        <w:rPr>
          <w:rStyle w:val="eop"/>
          <w:sz w:val="20"/>
          <w:szCs w:val="20"/>
          <w:lang w:val="kk-KZ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813E5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813E5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lastRenderedPageBreak/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7813E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7813E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7813E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7813E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346" w:rsidRDefault="00AD1346" w:rsidP="004C6A23">
      <w:r>
        <w:separator/>
      </w:r>
    </w:p>
  </w:endnote>
  <w:endnote w:type="continuationSeparator" w:id="0">
    <w:p w:rsidR="00AD1346" w:rsidRDefault="00AD1346" w:rsidP="004C6A23">
      <w:r>
        <w:continuationSeparator/>
      </w:r>
    </w:p>
  </w:endnote>
  <w:endnote w:type="continuationNotice" w:id="1">
    <w:p w:rsidR="00AD1346" w:rsidRDefault="00AD134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346" w:rsidRDefault="00AD1346" w:rsidP="004C6A23">
      <w:r>
        <w:separator/>
      </w:r>
    </w:p>
  </w:footnote>
  <w:footnote w:type="continuationSeparator" w:id="0">
    <w:p w:rsidR="00AD1346" w:rsidRDefault="00AD1346" w:rsidP="004C6A23">
      <w:r>
        <w:continuationSeparator/>
      </w:r>
    </w:p>
  </w:footnote>
  <w:footnote w:type="continuationNotice" w:id="1">
    <w:p w:rsidR="00AD1346" w:rsidRDefault="00AD13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37980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322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2D5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0B4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13E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1346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439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38E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114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60F5651-C816-4D1F-82DB-4D9C287C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63</cp:revision>
  <cp:lastPrinted>2023-06-26T06:36:00Z</cp:lastPrinted>
  <dcterms:created xsi:type="dcterms:W3CDTF">2023-07-02T15:43:00Z</dcterms:created>
  <dcterms:modified xsi:type="dcterms:W3CDTF">2025-07-02T05:08:00Z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